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  <w:keepNext/>
        <w:widowControl/>
        <w:spacing w:before="60" w:after="140" w:line="293" w:lineRule="auto"/>
        <w:ind w:firstLine="0"/>
        <w:jc w:val="left"/>
        <w:wordWrap w:val="0"/>
      </w:pPr>
      <w:commentRangeStart w:id="28"/>
      <w:r>
        <w:rPr>
          <w:rFonts w:ascii="Microsoft YaHei" w:hAnsi="Microsoft YaHei"/>
          <w:b/>
          <w:color w:val="000000"/>
          <w:u w:val="none"/>
          <w:lang w:val="en-US" w:eastAsia="zh-CN"/>
        </w:rPr>
        <w:t>信号厅列控展品双语讲解脚本</w:t>
      </w:r>
      <w:commentRangeEnd w:id="28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28"/>
      </w:r>
    </w:p>
    <w:p>
      <w:pPr>
        <w:pStyle w:val="Subtitle"/>
        <w:widowControl/>
        <w:spacing w:before="0" w:after="120" w:line="324" w:lineRule="auto"/>
        <w:ind w:firstLine="0"/>
        <w:jc w:val="left"/>
        <w:wordWrap w:val="0"/>
      </w:pPr>
      <w:commentRangeStart w:id="29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Bilingual Guide to Train Control Exhibits</w:t>
      </w:r>
      <w:commentRangeEnd w:id="29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29"/>
      </w:r>
    </w:p>
    <w:p>
      <w:pPr>
        <w:pStyle w:val="FirstParagraph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 xml:space="preserve">"云上科学馆"大思政课实践项目 · 图文作品类成果　|　北京交通大学交通运输学院　|　2026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0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使用方法：先选对应展品段落，再根据现场展品与受众基础调整讲法。每段提供中英文对应内容，来源编号用于备课核对。八板对应关系为：第1板对应01至06段，第2至3板对应07段，第4板对应08段，第5板对应09段，第6至8板对应结语。使用前应实际排练，本文不承诺未经实测的讲解时长。</w:t>
        <w:br/>
        <w:t>Use the relevant section for each exhibit. Adapt references to the display and rehearse the timing before presenting. Source labels are provided for preparation and checking.</w:t>
      </w:r>
      <w:commentRangeEnd w:id="3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30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33"/>
      <w:r>
        <w:rPr>
          <w:rFonts w:ascii="Microsoft YaHei" w:hAnsi="Microsoft YaHei"/>
          <w:b/>
          <w:color w:val="000000"/>
          <w:u w:val="none"/>
          <w:lang w:val="en-US" w:eastAsia="zh-CN"/>
        </w:rPr>
        <w:t>欢迎来到信号厅  Welcome</w:t>
      </w:r>
      <w:commentRangeEnd w:id="33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33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1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欢迎来到云上科学馆信号厅。列车前方有没有运行条件，收到的信息由谁处理，需要减速时又由谁介入？接下来，我们从几类设备出发，认识列车运行控制如何把这些环节连接起来。</w:t>
      </w:r>
      <w:commentRangeEnd w:id="31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31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2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Welcome to the Signaling Hall of the Cloud Science Museum. What operating conditions lie ahead of a train? Which equipment processes the information, and which system intervenes when protection is needed? Let us look at the equipment that connects these functions.</w:t>
      </w:r>
      <w:commentRangeEnd w:id="32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32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34"/>
      <w:r>
        <w:rPr>
          <w:rFonts w:ascii="Microsoft YaHei" w:hAnsi="Microsoft YaHei"/>
          <w:b/>
          <w:color w:val="000000"/>
          <w:u w:val="none"/>
          <w:lang w:val="en-US" w:eastAsia="zh-CN"/>
        </w:rPr>
        <w:t>01 列车运行控制系统  Train Control</w:t>
      </w:r>
      <w:commentRangeEnd w:id="34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34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列车运行控制系统由车载、地面和通信设备协同工作，依据运行条件实施列车安全防护。高铁“大脑”是科普比喻，不表示全部调度、驾驶和安全功能由一台设备承担。[S01]</w:t>
      </w:r>
      <w:commentRangeEnd w:id="1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2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Train control combines onboard, trackside and communication equipment to provide protection under specified operating conditions. The “brain” is a teaching analogy, not a single device responsible for every railway function. [S01]</w:t>
      </w:r>
      <w:commentRangeEnd w:id="2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2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35"/>
      <w:r>
        <w:rPr>
          <w:rFonts w:ascii="Microsoft YaHei" w:hAnsi="Microsoft YaHei"/>
          <w:b/>
          <w:color w:val="000000"/>
          <w:u w:val="none"/>
          <w:lang w:val="en-US" w:eastAsia="zh-CN"/>
        </w:rPr>
        <w:t>02 CTCS体系  CTCS Levels</w:t>
      </w:r>
      <w:commentRangeEnd w:id="35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35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CTCS是中国列车运行控制系统。CTCS-2与CTCS-3的区别应从系统结构和信息传输方式理解；CTCS-3利用无线通信传输行车许可。等级不能直接等同于固定运行速度或固定追踪间隔，实际能力受线路、车辆和运营条件约束。[S01]</w:t>
      </w:r>
      <w:commentRangeEnd w:id="3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3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4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CTCS means Chinese Train Control System. CTCS-2 and CTCS-3 differ in architecture and information transmission; CTCS-3 uses radio to transmit movement authorities. A level alone does not determine a fixed speed or headway. Actual performance depends on the railway, rolling stock and operating conditions. [S01]</w:t>
      </w:r>
      <w:commentRangeEnd w:id="4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4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36"/>
      <w:r>
        <w:rPr>
          <w:rFonts w:ascii="Microsoft YaHei" w:hAnsi="Microsoft YaHei"/>
          <w:b/>
          <w:color w:val="000000"/>
          <w:u w:val="none"/>
          <w:lang w:val="en-US" w:eastAsia="zh-CN"/>
        </w:rPr>
        <w:t>03 无线闭塞中心  Radio Block Centre</w:t>
      </w:r>
      <w:commentRangeEnd w:id="36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36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5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RBC（无线闭塞中心）是CTCS-3的关键地面设备，综合相关线路和列车信息生成行车许可，经无线通信传送给车载设备。它不等于整个调度系统。[S01]</w:t>
      </w:r>
      <w:commentRangeEnd w:id="5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5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6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The Radio Block Centre, or RBC, is a key trackside component of CTCS-3. It uses relevant track and train information to generate movement authorities and sends them to onboard equipment by radio. It is not the entire dispatching system. [S01]</w:t>
      </w:r>
      <w:commentRangeEnd w:id="6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6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37"/>
      <w:r>
        <w:rPr>
          <w:rFonts w:ascii="Microsoft YaHei" w:hAnsi="Microsoft YaHei"/>
          <w:b/>
          <w:color w:val="000000"/>
          <w:u w:val="none"/>
          <w:lang w:val="en-US" w:eastAsia="zh-CN"/>
        </w:rPr>
        <w:t>04 应答器  Balise</w:t>
      </w:r>
      <w:commentRangeEnd w:id="37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37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7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应答器（balise）是轨旁信息传输设备，列车经过时向车载设备传送报文，可用于位置校正及相关线路信息传输；它并非持续追踪列车的定位设备。[S01]</w:t>
      </w:r>
      <w:commentRangeEnd w:id="7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7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8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A balise is a trackside information device. As a train passes, it transmits telegrams to onboard equipment for functions such as position correction and line information. It does not continuously track the train. [S01]</w:t>
      </w:r>
      <w:commentRangeEnd w:id="8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8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38"/>
      <w:r>
        <w:rPr>
          <w:rFonts w:ascii="Microsoft YaHei" w:hAnsi="Microsoft YaHei"/>
          <w:b/>
          <w:color w:val="000000"/>
          <w:u w:val="none"/>
          <w:lang w:val="en-US" w:eastAsia="zh-CN"/>
        </w:rPr>
        <w:t>05 安全计算机平台  Safety Computer Platform</w:t>
      </w:r>
      <w:commentRangeEnd w:id="38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38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9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安全计算机平台承担安全相关计算。SIL4为安全完整性等级4，具体等级要求和认证结论必须对应标准、产品及适用范围；不能据此声称系统绝不会失效，也不能外推为所有列控装备均已取得同一认证。[S01、S11]</w:t>
      </w:r>
      <w:commentRangeEnd w:id="9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9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0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A safety computer platform performs safety-related computations. SIL4 means Safety Integrity Level 4. Requirements and certification claims must refer to a particular standard, product and scope; they do not mean that failure is impossible. [S01, S11]</w:t>
      </w:r>
      <w:commentRangeEnd w:id="1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0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39"/>
      <w:r>
        <w:rPr>
          <w:rFonts w:ascii="Microsoft YaHei" w:hAnsi="Microsoft YaHei"/>
          <w:b/>
          <w:color w:val="000000"/>
          <w:u w:val="none"/>
          <w:lang w:val="en-US" w:eastAsia="zh-CN"/>
        </w:rPr>
        <w:t>06 ATP与ATO  ATP and ATO</w:t>
      </w:r>
      <w:commentRangeEnd w:id="39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39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1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ATP是列车自动防护，监督运行并在满足干预条件时实施防护；ATO是列车自动运行，在相应系统配置和防护约束下执行自动驾驶功能。不能把二者混同，也不能对所有线路承诺厘米级停车精度。[S01]</w:t>
      </w:r>
      <w:commentRangeEnd w:id="11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1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2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ATP means Automatic Train Protection: it supervises train operation and intervenes when protection conditions are met. ATO means Automatic Train Operation: it performs driving functions within the applicable system and protection constraints. Stopping accuracy depends on the installation and conditions. [S01]</w:t>
      </w:r>
      <w:commentRangeEnd w:id="12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2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40"/>
      <w:r>
        <w:rPr>
          <w:rFonts w:ascii="Microsoft YaHei" w:hAnsi="Microsoft YaHei"/>
          <w:b/>
          <w:color w:val="000000"/>
          <w:u w:val="none"/>
          <w:lang w:val="en-US" w:eastAsia="zh-CN"/>
        </w:rPr>
        <w:t>07 亦庄线示范工程  The Yizhuang Line</w:t>
      </w:r>
      <w:commentRangeEnd w:id="40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40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3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2010年12月30日，北京地铁亦庄线CBTC示范工程开通运营。这里的CBTC指基于通信的列车运行控制系统，属于城市轨道交通案例，不等同于高铁CTCS-3，也不把CBTC与移动闭塞当作完全相同的概念。[S03、S04]</w:t>
      </w:r>
      <w:commentRangeEnd w:id="13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3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4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The Yizhuang Line CBTC demonstration project opened on 30 December 2010. CBTC stands for Communications-Based Train Control. This is an urban rail example, distinct from high-speed rail CTCS-3. CBTC and moving block should not be treated as strictly interchangeable terms. [S03, S04]</w:t>
      </w:r>
      <w:commentRangeEnd w:id="14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4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41"/>
      <w:r>
        <w:rPr>
          <w:rFonts w:ascii="Microsoft YaHei" w:hAnsi="Microsoft YaHei"/>
          <w:b/>
          <w:color w:val="000000"/>
          <w:u w:val="none"/>
          <w:lang w:val="en-US" w:eastAsia="zh-CN"/>
        </w:rPr>
        <w:t>08 标准与测试  Standards and Testing</w:t>
      </w:r>
      <w:commentRangeEnd w:id="41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41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5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北京交通大学相关平台开展CTCS-3车载设备互联互通测试及RBC功能测试。其价值在于检验设备是否满足要求、接口是否协调以及故障场景下的响应，不能把单个平台直接表述为实现全国跨线运营的唯一原因。[S05]</w:t>
      </w:r>
      <w:commentRangeEnd w:id="15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5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6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Platforms at Beijing Jiaotong University support interoperability testing of CTCS-3 onboard equipment and functional testing of RBCs. Testing checks requirements, interfaces and responses under defined conditions. It does not by itself prove universal interoperability across a railway network. [S05]</w:t>
      </w:r>
      <w:commentRangeEnd w:id="16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6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42"/>
      <w:r>
        <w:rPr>
          <w:rFonts w:ascii="Microsoft YaHei" w:hAnsi="Microsoft YaHei"/>
          <w:b/>
          <w:color w:val="000000"/>
          <w:u w:val="none"/>
          <w:lang w:val="en-US" w:eastAsia="zh-CN"/>
        </w:rPr>
        <w:t>09 国际工程合作  International Cooperation</w:t>
      </w:r>
      <w:commentRangeEnd w:id="42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42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7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2022年3月19日，匈塞铁路贝尔格莱德至诺维萨德段开通运营；这一日期仅指贝诺段。2023年10月2日雅万高铁正式启用，10月17日两国元首共同为其正式开通运营揭幕。匈塞与雅万的规范及列控方案应分别说明，不统一标为CTCS-3。[S08、S09、S10]</w:t>
      </w:r>
      <w:commentRangeEnd w:id="17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7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8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The Belgrade–Novi Sad section of the Hungary–Serbia railway opened on 19 March 2022. The Jakarta–Bandung high-speed railway was inaugurated on 2 October 2023; the two heads of state marked its official opening for operation on 17 October. The projects follow their respective technical requirements and must not both be labelled CTCS-3. [S08–S10]</w:t>
      </w:r>
      <w:commentRangeEnd w:id="18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8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43"/>
      <w:r>
        <w:rPr>
          <w:rFonts w:ascii="Microsoft YaHei" w:hAnsi="Microsoft YaHei"/>
          <w:b/>
          <w:color w:val="000000"/>
          <w:u w:val="none"/>
          <w:lang w:val="en-US" w:eastAsia="zh-CN"/>
        </w:rPr>
        <w:t>从研究到传承  Research and Education</w:t>
      </w:r>
      <w:commentRangeEnd w:id="43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43"/>
      </w:r>
    </w:p>
    <w:p>
      <w:pPr>
        <w:pStyle w:val="FirstParagraph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中文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9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宁滨（1959—2019）长期从事轨道交通运行控制研究，1977年考入北方交通大学，1982年留校任教，2017年当选中国工程院院士，曾任北京交通大学校长。人物贡献应结合团队协作及科研育人背景说明。[S06、S07] 本项目采用六个教学观察角度：自主创新、协同攻关、标准意识、场景验证、人才传承、开放合作。这是对材料的学习归纳，并非权威排名、量化研究结果或成功的唯一因果解释。</w:t>
      </w:r>
      <w:commentRangeEnd w:id="19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19"/>
      </w:r>
    </w:p>
    <w:p>
      <w:pPr>
        <w:pStyle w:val="BodyText"/>
        <w:keepNext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555555"/>
          <w:sz w:val="18"/>
          <w:lang w:val="en-US" w:eastAsia="zh-CN"/>
        </w:rPr>
        <w:t xml:space="preserve">EN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20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Ning Bin (1959–2019), a railway control researcher and former president of Beijing Jiaotong University, was elected to the Chinese Academy of Engineering in 2017. Our project uses six learning perspectives: independent innovation, collaboration, standards awareness, scenario-based validation, talent development and international cooperation. These are our teaching synthesis, not a quotation or a causal research finding. [S06, S07]</w:t>
      </w:r>
      <w:commentRangeEnd w:id="2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20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44"/>
      <w:r>
        <w:rPr>
          <w:rFonts w:ascii="Microsoft YaHei" w:hAnsi="Microsoft YaHei"/>
          <w:b/>
          <w:color w:val="000000"/>
          <w:u w:val="none"/>
          <w:lang w:val="en-US" w:eastAsia="zh-CN"/>
        </w:rPr>
        <w:t>中英术语对照  Bilingual Glossary</w:t>
      </w:r>
      <w:commentRangeEnd w:id="44"/>
      <w:r>
        <w:rPr>
          <w:rStyle w:val="CommentReference"/>
          <w:rFonts w:ascii="Microsoft YaHei" w:hAnsi="Microsoft YaHei"/>
          <w:b/>
          <w:color w:val="000000"/>
          <w:u w:val="none"/>
          <w:lang w:val="en-US" w:eastAsia="zh-CN"/>
        </w:rPr>
        <w:commentReference w:id="44"/>
      </w:r>
    </w:p>
    <w:tbl>
      <w:tblPr>
        <w:tblStyle w:val="Table"/>
        <w:tblW w:type="dxa" w:w="9792"/>
        <w:tblLayout w:type="fixed"/>
        <w:tblLook w:firstRow="1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56"/>
        <w:gridCol w:w="3168"/>
        <w:gridCol w:w="4392"/>
      </w:tblGrid>
      <w:tr>
        <w:trPr>
          <w:cnfStyle w:firstRow="1"/>
          <w:tblHeader/>
        </w:trPr>
        <w:tc>
          <w:tcPr>
            <w:tcW w:type="dxa" w:w="1656"/>
            <w:tcBorders>
              <w:bottom w:val="single"/>
            </w:tcBorders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/>
                <w:color w:val="000000"/>
                <w:sz w:val="19"/>
              </w:rPr>
              <w:t xml:space="preserve">中文</w:t>
            </w:r>
          </w:p>
        </w:tc>
        <w:tc>
          <w:tcPr>
            <w:tcW w:type="dxa" w:w="3168"/>
            <w:tcBorders>
              <w:bottom w:val="single"/>
            </w:tcBorders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/>
                <w:color w:val="000000"/>
                <w:sz w:val="19"/>
              </w:rPr>
              <w:t xml:space="preserve">English</w:t>
            </w:r>
          </w:p>
        </w:tc>
        <w:tc>
          <w:tcPr>
            <w:tcW w:type="dxa" w:w="4392"/>
            <w:tcBorders>
              <w:bottom w:val="single"/>
            </w:tcBorders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/>
                <w:color w:val="000000"/>
                <w:sz w:val="19"/>
              </w:rPr>
              <w:t xml:space="preserve">缩写 / 备注 Abbr. / Note</w:t>
            </w:r>
          </w:p>
        </w:tc>
      </w:tr>
      <w:tr>
        <w:tc>
          <w:tcPr>
            <w:tcW w:type="dxa" w:w="16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列车运行控制系统（列控）</w:t>
            </w:r>
          </w:p>
        </w:tc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Train Control System</w:t>
            </w:r>
          </w:p>
        </w:tc>
        <w:tc>
          <w:tcPr>
            <w:tcW w:type="dxa" w:w="43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TCS</w:t>
            </w:r>
          </w:p>
        </w:tc>
      </w:tr>
      <w:tr>
        <w:tc>
          <w:tcPr>
            <w:tcW w:type="dxa" w:w="1656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中国列车运行控制系统</w:t>
            </w:r>
          </w:p>
        </w:tc>
        <w:tc>
          <w:tcPr>
            <w:tcW w:type="dxa" w:w="3168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Chinese Train Control System</w:t>
            </w:r>
          </w:p>
        </w:tc>
        <w:tc>
          <w:tcPr>
            <w:tcW w:type="dxa" w:w="4392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CTCS（分 CTCS-2 / CTCS-3 等级 levels）</w:t>
            </w:r>
          </w:p>
        </w:tc>
      </w:tr>
      <w:tr>
        <w:tc>
          <w:tcPr>
            <w:tcW w:type="dxa" w:w="16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无线闭塞中心</w:t>
            </w:r>
          </w:p>
        </w:tc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commentRangeStart w:id="22"/>
            <w:r>
              <w:rPr>
                <w:rFonts w:ascii="Microsoft YaHei" w:hAnsi="Microsoft YaHei"/>
                <w:b w:val="0"/>
                <w:color w:val="000000"/>
                <w:sz w:val="19"/>
              </w:rPr>
              <w:t>Radio Block Centre</w:t>
            </w:r>
            <w:commentRangeEnd w:id="22"/>
            <w:r>
              <w:rPr>
                <w:rStyle w:val="CommentReference"/>
                <w:rFonts w:ascii="Microsoft YaHei" w:hAnsi="Microsoft YaHei"/>
                <w:b w:val="0"/>
                <w:color w:val="000000"/>
                <w:sz w:val="19"/>
              </w:rPr>
              <w:commentReference w:id="22"/>
            </w:r>
          </w:p>
        </w:tc>
        <w:tc>
          <w:tcPr>
            <w:tcW w:type="dxa" w:w="43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RBC</w:t>
            </w:r>
          </w:p>
        </w:tc>
      </w:tr>
      <w:tr>
        <w:tc>
          <w:tcPr>
            <w:tcW w:type="dxa" w:w="1656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应答器</w:t>
            </w:r>
          </w:p>
        </w:tc>
        <w:tc>
          <w:tcPr>
            <w:tcW w:type="dxa" w:w="3168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Balise</w:t>
            </w:r>
          </w:p>
        </w:tc>
        <w:tc>
          <w:tcPr>
            <w:tcW w:type="dxa" w:w="4392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commentRangeStart w:id="46"/>
            <w:r>
              <w:rPr>
                <w:rFonts w:ascii="Microsoft YaHei" w:hAnsi="Microsoft YaHei"/>
                <w:b w:val="0"/>
                <w:color w:val="000000"/>
                <w:sz w:val="19"/>
              </w:rPr>
              <w:t>轨旁信息传输与位置校正</w:t>
              <w:br/>
              <w:t>Trackside information and position correction</w:t>
            </w:r>
            <w:commentRangeEnd w:id="46"/>
            <w:r>
              <w:rPr>
                <w:rStyle w:val="CommentReference"/>
                <w:rFonts w:ascii="Microsoft YaHei" w:hAnsi="Microsoft YaHei"/>
                <w:b w:val="0"/>
                <w:color w:val="000000"/>
                <w:sz w:val="19"/>
              </w:rPr>
              <w:commentReference w:id="46"/>
            </w:r>
          </w:p>
        </w:tc>
      </w:tr>
      <w:tr>
        <w:tc>
          <w:tcPr>
            <w:tcW w:type="dxa" w:w="16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安全计算机平台</w:t>
            </w:r>
          </w:p>
        </w:tc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Safety Computer Platform</w:t>
            </w:r>
          </w:p>
        </w:tc>
        <w:tc>
          <w:tcPr>
            <w:tcW w:type="dxa" w:w="43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commentRangeStart w:id="23"/>
            <w:r>
              <w:rPr>
                <w:rFonts w:ascii="Microsoft YaHei" w:hAnsi="Microsoft YaHei"/>
                <w:b w:val="0"/>
                <w:color w:val="000000"/>
                <w:sz w:val="19"/>
              </w:rPr>
              <w:t>按具体标准与产品要求 / product-specific requirements</w:t>
            </w:r>
            <w:commentRangeEnd w:id="23"/>
            <w:r>
              <w:rPr>
                <w:rStyle w:val="CommentReference"/>
                <w:rFonts w:ascii="Microsoft YaHei" w:hAnsi="Microsoft YaHei"/>
                <w:b w:val="0"/>
                <w:color w:val="000000"/>
                <w:sz w:val="19"/>
              </w:rPr>
              <w:commentReference w:id="23"/>
            </w:r>
          </w:p>
        </w:tc>
      </w:tr>
      <w:tr>
        <w:tc>
          <w:tcPr>
            <w:tcW w:type="dxa" w:w="1656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安全完整性等级 4</w:t>
            </w:r>
          </w:p>
        </w:tc>
        <w:tc>
          <w:tcPr>
            <w:tcW w:type="dxa" w:w="3168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Safety Integrity Level 4</w:t>
            </w:r>
          </w:p>
        </w:tc>
        <w:tc>
          <w:tcPr>
            <w:tcW w:type="dxa" w:w="4392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commentRangeStart w:id="24"/>
            <w:r>
              <w:rPr>
                <w:rFonts w:ascii="Microsoft YaHei" w:hAnsi="Microsoft YaHei"/>
                <w:b w:val="0"/>
                <w:color w:val="000000"/>
                <w:sz w:val="19"/>
              </w:rPr>
              <w:t>认证范围须明确 / scope must be specified</w:t>
            </w:r>
            <w:commentRangeEnd w:id="24"/>
            <w:r>
              <w:rPr>
                <w:rStyle w:val="CommentReference"/>
                <w:rFonts w:ascii="Microsoft YaHei" w:hAnsi="Microsoft YaHei"/>
                <w:b w:val="0"/>
                <w:color w:val="000000"/>
                <w:sz w:val="19"/>
              </w:rPr>
              <w:commentReference w:id="24"/>
            </w:r>
          </w:p>
        </w:tc>
      </w:tr>
      <w:tr>
        <w:tc>
          <w:tcPr>
            <w:tcW w:type="dxa" w:w="16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列车自动防护</w:t>
            </w:r>
          </w:p>
        </w:tc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Automatic Train Protection</w:t>
            </w:r>
          </w:p>
        </w:tc>
        <w:tc>
          <w:tcPr>
            <w:tcW w:type="dxa" w:w="43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ATP</w:t>
            </w:r>
          </w:p>
        </w:tc>
      </w:tr>
      <w:tr>
        <w:tc>
          <w:tcPr>
            <w:tcW w:type="dxa" w:w="1656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列车自动运行</w:t>
            </w:r>
          </w:p>
        </w:tc>
        <w:tc>
          <w:tcPr>
            <w:tcW w:type="dxa" w:w="3168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Automatic Train Operation</w:t>
            </w:r>
          </w:p>
        </w:tc>
        <w:tc>
          <w:tcPr>
            <w:tcW w:type="dxa" w:w="4392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ATO</w:t>
            </w:r>
          </w:p>
        </w:tc>
      </w:tr>
      <w:tr>
        <w:tc>
          <w:tcPr>
            <w:tcW w:type="dxa" w:w="16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移动闭塞</w:t>
            </w:r>
          </w:p>
        </w:tc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Moving Block</w:t>
            </w:r>
          </w:p>
        </w:tc>
        <w:tc>
          <w:tcPr>
            <w:tcW w:type="dxa" w:w="43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commentRangeStart w:id="25"/>
            <w:r>
              <w:rPr>
                <w:rFonts w:ascii="Microsoft YaHei" w:hAnsi="Microsoft YaHei"/>
                <w:b w:val="0"/>
                <w:color w:val="000000"/>
                <w:sz w:val="19"/>
              </w:rPr>
              <w:t>闭塞方式，不与CBTC严格等同 / a block principle, not a synonym for CBTC</w:t>
            </w:r>
            <w:commentRangeEnd w:id="25"/>
            <w:r>
              <w:rPr>
                <w:rStyle w:val="CommentReference"/>
                <w:rFonts w:ascii="Microsoft YaHei" w:hAnsi="Microsoft YaHei"/>
                <w:b w:val="0"/>
                <w:color w:val="000000"/>
                <w:sz w:val="19"/>
              </w:rPr>
              <w:commentReference w:id="25"/>
            </w:r>
          </w:p>
        </w:tc>
      </w:tr>
      <w:tr>
        <w:tc>
          <w:tcPr>
            <w:tcW w:type="dxa" w:w="1656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基于通信的列车运行控制系统</w:t>
            </w:r>
          </w:p>
        </w:tc>
        <w:tc>
          <w:tcPr>
            <w:tcW w:type="dxa" w:w="3168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commentRangeStart w:id="26"/>
            <w:r>
              <w:rPr>
                <w:rFonts w:ascii="Microsoft YaHei" w:hAnsi="Microsoft YaHei"/>
                <w:b w:val="0"/>
                <w:color w:val="000000"/>
                <w:sz w:val="19"/>
              </w:rPr>
              <w:t>Communications-Based Train Control</w:t>
            </w:r>
            <w:commentRangeEnd w:id="26"/>
            <w:r>
              <w:rPr>
                <w:rStyle w:val="CommentReference"/>
                <w:rFonts w:ascii="Microsoft YaHei" w:hAnsi="Microsoft YaHei"/>
                <w:b w:val="0"/>
                <w:color w:val="000000"/>
                <w:sz w:val="19"/>
              </w:rPr>
              <w:commentReference w:id="26"/>
            </w:r>
          </w:p>
        </w:tc>
        <w:tc>
          <w:tcPr>
            <w:tcW w:type="dxa" w:w="4392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CBTC</w:t>
            </w:r>
          </w:p>
        </w:tc>
      </w:tr>
      <w:tr>
        <w:tc>
          <w:tcPr>
            <w:tcW w:type="dxa" w:w="16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行车许可</w:t>
            </w:r>
          </w:p>
        </w:tc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Movement Authority</w:t>
            </w:r>
          </w:p>
        </w:tc>
        <w:tc>
          <w:tcPr>
            <w:tcW w:type="dxa" w:w="43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MA</w:t>
            </w:r>
          </w:p>
        </w:tc>
      </w:tr>
      <w:tr>
        <w:tc>
          <w:tcPr>
            <w:tcW w:type="dxa" w:w="1656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互联互通</w:t>
            </w:r>
          </w:p>
        </w:tc>
        <w:tc>
          <w:tcPr>
            <w:tcW w:type="dxa" w:w="3168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Interoperability</w:t>
            </w:r>
          </w:p>
        </w:tc>
        <w:tc>
          <w:tcPr>
            <w:tcW w:type="dxa" w:w="4392"/>
            <w:vAlign w:val="center"/>
            <w:shd w:fill="F7F9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commentRangeStart w:id="47"/>
            <w:r>
              <w:rPr>
                <w:rFonts w:ascii="Microsoft YaHei" w:hAnsi="Microsoft YaHei"/>
                <w:b w:val="0"/>
                <w:color w:val="000000"/>
                <w:sz w:val="19"/>
              </w:rPr>
              <w:t>在规定条件下协同工作</w:t>
              <w:br/>
              <w:t>Operation together under defined conditions</w:t>
            </w:r>
            <w:commentRangeEnd w:id="47"/>
            <w:r>
              <w:rPr>
                <w:rStyle w:val="CommentReference"/>
                <w:rFonts w:ascii="Microsoft YaHei" w:hAnsi="Microsoft YaHei"/>
                <w:b w:val="0"/>
                <w:color w:val="000000"/>
                <w:sz w:val="19"/>
              </w:rPr>
              <w:commentReference w:id="47"/>
            </w:r>
          </w:p>
        </w:tc>
      </w:tr>
      <w:tr>
        <w:tc>
          <w:tcPr>
            <w:tcW w:type="dxa" w:w="16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中国铁路通信信号集团</w:t>
            </w:r>
          </w:p>
        </w:tc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China Railway Signal &amp; Communication</w:t>
            </w:r>
          </w:p>
        </w:tc>
        <w:tc>
          <w:tcPr>
            <w:tcW w:type="dxa" w:w="43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  <w:spacing w:after="40" w:line="288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</w:rPr>
              <w:t xml:space="preserve">CRSC / 中国通号</w:t>
            </w:r>
          </w:p>
        </w:tc>
      </w:tr>
    </w:tbl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45"/>
      <w:r>
        <w:rPr>
          <w:rFonts w:ascii="Microsoft YaHei" w:hAnsi="Microsoft YaHei" w:eastAsia="Microsoft YaHei"/>
          <w:b w:val="0"/>
          <w:color w:val="000000"/>
          <w:sz w:val="21"/>
          <w:lang w:val="en-US" w:eastAsia="zh-CN"/>
        </w:rPr>
        <w:t>口径说明：历史事实用来源编号标识，英文为对应译写，仍待专业审阅。网页中的信号光线、报文路径和速度变化为教学示意；讲解不得把它们当作真实工程数据。实际活动尚未开展。</w:t>
      </w:r>
      <w:commentRangeEnd w:id="45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  <w:lang w:val="en-US" w:eastAsia="zh-CN"/>
        </w:rPr>
        <w:commentReference w:id="45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  <w:lang w:val="en-US" w:eastAsia="zh-CN"/>
        </w:rPr>
        <w:t>资料来源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[S01] 中国通号　先进安全 开放兼容 自主可控的中国高铁列控系统　2016-07-05</w:t>
        <w:br/>
        <w:t>https://www.crsc.cn/news/tsi_1764_4776_19147.html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[S02] 北京交通大学　宁滨校长赴北京地铁亦庄线工程现场慰问我校教师　2010-07-28</w:t>
        <w:br/>
        <w:t>https://news.bjtu.edu.cn/info/1011/5452.htm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[S03] 北京交通大学　宁滨校长陪同有关领导和专家见证亦庄线全线按图试运行启动　2010-10-21</w:t>
        <w:br/>
        <w:t>https://news.bjtu.edu.cn/info/1011/5504.htm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[S04] 北京交通大学土木建筑工程学院　丁树奎 唐涛 郜春海 深切缅怀中国城市轨道交通奠基人和领航者施仲衡院士　2024-12-30</w:t>
        <w:br/>
        <w:t>https://civil.bjtu.edu.cn/cms/item/23616.html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[S05] 北京交通大学自动化与智能学院　列车智能控制技术研究所介绍　访问于2026-09-21</w:t>
        <w:br/>
        <w:t>https://ai.bjtu.edu.cn/xygk/zzjg/szx/lcznkzjsyjs/index.htm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[S06] 北京交通大学电子信息工程学院　无尽的思念 宁滨院士逝世三周年纪念座谈会举行　2022-06-16</w:t>
        <w:br/>
        <w:t>https://eie.bjtu.edu.cn/cms/item/4619.html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[S07] 北京交通大学新闻网　宁滨 数十载植根交大 一生情缘定交通　2019年报道</w:t>
        <w:br/>
        <w:t>https://news.bjtu.edu.cn/info/1003/29907.htm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[S08] 国家铁路局　匈塞铁路贝诺段开通运营　2022-03-21</w:t>
        <w:br/>
        <w:t>https://www.nra.gov.cn/xwzx/xwxx/yjxw/202204/t20220405_284738.shtml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[S09] 中国政府网　中印尼共建一带一路合作的金字招牌　2023-10-18</w:t>
        <w:br/>
        <w:t>https://www.gov.cn/yaowen/liebiao/202310/content_6909797.htm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[S10] 中国通号 上海证券交易所公告　中国通号公告2023-012　2023-04-19</w:t>
        <w:br/>
        <w:t>https://star.sse.com.cn/disclosure/listedinfo/announcement/c/new/2023-04-19/688009_20230419_F05I.pdf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  <w:lang w:val="en-US" w:eastAsia="zh-CN"/>
        </w:rPr>
        <w:t>[S11] 中国通号　自主化RBC设备通过欧盟TSI认证　2017-02-13</w:t>
        <w:br/>
        <w:t>https://www.crsc.cn/news/tsi_4691_9732_21825.html</w:t>
      </w:r>
    </w:p>
    <w:sectPr>
      <w:headerReference w:type="default" r:id="rId9"/>
      <w:footerReference w:type="default" r:id="rId10"/>
      <w:pgSz w:w="12240" w:h="15840"/>
      <w:pgMar w:left="1152" w:right="1152" w:top="1037" w:bottom="979" w:header="432" w:footer="403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comment w:id="0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4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5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6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7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8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9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0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1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2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3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4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5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6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7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8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9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0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1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2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3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4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5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6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7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更新项目文件状态 不把软件检查写成真实活动或真人识别验证</w:t>
      </w:r>
    </w:p>
  </w:comment>
  <w:comment w:id="28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29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0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1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2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3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4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5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6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7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8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9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0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1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2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3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4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5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6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7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/>
        <w:color w:val="555555"/>
        <w:sz w:val="16"/>
      </w:rPr>
      <w:t xml:space="preserve">云上科学馆　·　</w:t>
    </w:r>
    <w:fldSimple w:instr="PAGE"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/>
        <w:color w:val="000000"/>
        <w:sz w:val="16"/>
      </w:rPr>
      <w:t>云上科学馆  /  内容审阅版</w:t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  <w:lang w:val="zh-CN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pPr>
      <w:spacing w:line="324" w:lineRule="auto" w:after="120"/>
      <w:ind w:firstLine="0"/>
    </w:pPr>
    <w:rPr>
      <w:rFonts w:ascii="Microsoft YaHei" w:hAnsi="Microsoft YaHei" w:eastAsia="Microsoft YaHei"/>
      <w:color w:val="000000"/>
      <w:sz w:val="21"/>
    </w:rPr>
  </w:style>
  <w:style w:type="paragraph" w:styleId="BodyText">
    <w:name w:val="Body Text"/>
    <w:basedOn w:val="Normal"/>
    <w:link w:val="BodyTextChar"/>
    <w:pPr>
      <w:spacing w:before="180" w:after="120" w:line="324" w:lineRule="auto"/>
      <w:ind w:firstLine="0"/>
    </w:pPr>
    <w:qFormat/>
    <w:rPr>
      <w:rFonts w:ascii="Microsoft YaHei" w:hAnsi="Microsoft YaHei" w:eastAsia="Microsoft YaHei"/>
      <w:color w:val="000000"/>
      <w:sz w:val="21"/>
    </w:rPr>
  </w:style>
  <w:style w:type="paragraph" w:customStyle="1" w:styleId="FirstParagraph">
    <w:name w:val="First Paragraph"/>
    <w:basedOn w:val="BodyText"/>
    <w:next w:val="BodyText"/>
    <w:qFormat/>
    <w:pPr>
      <w:spacing w:line="324" w:lineRule="auto" w:after="120"/>
      <w:ind w:firstLine="0"/>
    </w:pPr>
    <w:rPr>
      <w:rFonts w:ascii="Microsoft YaHei" w:hAnsi="Microsoft YaHei" w:eastAsia="Microsoft YaHei"/>
      <w:color w:val="000000"/>
      <w:sz w:val="21"/>
    </w:rPr>
  </w:style>
  <w:style w:type="paragraph" w:customStyle="1" w:styleId="Compact">
    <w:name w:val="Compact"/>
    <w:basedOn w:val="BodyText"/>
    <w:qFormat/>
    <w:pPr>
      <w:spacing w:before="36" w:after="120" w:line="324" w:lineRule="auto"/>
      <w:ind w:firstLine="0"/>
    </w:pPr>
    <w:rPr>
      <w:rFonts w:ascii="Microsoft YaHei" w:hAnsi="Microsoft YaHei" w:eastAsia="Microsoft YaHei"/>
      <w:color w:val="000000"/>
      <w:sz w:val="21"/>
    </w:rPr>
  </w:style>
  <w:style w:type="paragraph" w:styleId="Title">
    <w:name w:val="Title"/>
    <w:basedOn w:val="Normal"/>
    <w:next w:val="BodyText"/>
    <w:qFormat/>
    <w:pPr>
      <w:keepNext/>
      <w:keepLines/>
      <w:spacing w:before="60" w:after="140" w:line="293" w:lineRule="auto"/>
      <w:jc w:val="center"/>
    </w:pPr>
    <w:rPr>
      <w:rFonts w:ascii="Microsoft YaHei" w:eastAsia="Microsoft YaHei" w:hAnsi="Microsoft YaHei" w:cs="Arial"/>
      <w:b/>
      <w:bCs/>
      <w:color w:val="000000"/>
      <w:sz w:val="4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60" w:after="140" w:line="293" w:lineRule="auto"/>
      <w:jc w:val="center"/>
    </w:pPr>
    <w:rPr>
      <w:rFonts w:ascii="Microsoft YaHei" w:hAnsi="Microsoft YaHei" w:eastAsia="Microsoft YaHei"/>
      <w:b w:val="0"/>
      <w:color w:val="000000"/>
      <w:sz w:val="22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="Arial" w:eastAsia="黑体" w:hAnsi="Arial" w:cs="Arial"/>
      <w:b/>
      <w:bCs/>
      <w:color w:val="15356B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="Arial" w:eastAsia="黑体" w:hAnsi="Arial" w:cs="Arial"/>
      <w:b/>
      <w:bCs/>
      <w:color w:val="15356B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="Arial" w:eastAsia="黑体" w:hAnsi="Arial" w:cs="Arial"/>
      <w:b/>
      <w:bCs/>
      <w:color w:val="15356B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="Arial" w:eastAsia="黑体" w:hAnsi="Arial" w:cs="Arial"/>
      <w:i/>
      <w:bCs/>
      <w:color w:val="15356B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="Arial" w:eastAsia="黑体" w:hAnsi="Arial" w:cs="Arial"/>
      <w:iCs/>
      <w:color w:val="15356B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="Arial" w:eastAsia="黑体" w:hAnsi="Arial" w:cs="Arial"/>
      <w:color w:val="15356B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="Arial" w:eastAsia="黑体" w:hAnsi="Arial" w:cs="Arial"/>
      <w:color w:val="15356B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="Arial" w:eastAsia="黑体" w:hAnsi="Arial" w:cs="Arial"/>
      <w:color w:val="15356B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="Arial" w:eastAsia="黑体" w:hAnsi="Arial" w:cs="Arial"/>
      <w:color w:val="15356B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  <w:style w:type="paragraph" w:customStyle="1" w:styleId="Heading1">
    <w:name w:val="heading 1"/>
    <w:pPr>
      <w:keepNext/>
      <w:spacing w:before="320" w:after="140" w:line="293" w:lineRule="auto"/>
    </w:pPr>
    <w:rPr>
      <w:rFonts w:ascii="Microsoft YaHei" w:hAnsi="Microsoft YaHei" w:eastAsia="Microsoft YaHei"/>
      <w:b/>
      <w:color w:val="000000"/>
      <w:sz w:val="32"/>
    </w:rPr>
  </w:style>
  <w:style w:type="paragraph" w:customStyle="1" w:styleId="Heading2">
    <w:name w:val="heading 2"/>
    <w:pPr>
      <w:keepNext/>
      <w:spacing w:before="320" w:after="140" w:line="293" w:lineRule="auto"/>
    </w:pPr>
    <w:rPr>
      <w:rFonts w:ascii="Microsoft YaHei" w:hAnsi="Microsoft YaHei" w:eastAsia="Microsoft YaHei"/>
      <w:b/>
      <w:color w:val="000000"/>
      <w:sz w:val="25"/>
    </w:rPr>
  </w:style>
  <w:style w:type="paragraph" w:customStyle="1" w:styleId="Heading3">
    <w:name w:val="heading 3"/>
    <w:pPr>
      <w:keepNext/>
      <w:spacing w:before="320" w:after="140" w:line="293" w:lineRule="auto"/>
    </w:pPr>
    <w:rPr>
      <w:rFonts w:ascii="Microsoft YaHei" w:hAnsi="Microsoft YaHei" w:eastAsia="Microsoft YaHei"/>
      <w:b/>
      <w:color w:val="000000"/>
      <w:sz w:val="23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云上科学馆·信号厅 高铁列控展品双语讲解脚本（中英）</dc:title>
  <dc:creator/>
  <dc:language>zh-CN</dc:language>
  <cp:keywords/>
  <dcterms:created xsi:type="dcterms:W3CDTF">2026-06-05T19:19:58Z</dcterms:created>
  <dcterms:modified xsi:type="dcterms:W3CDTF">2026-06-05T19:19:58Z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